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607695</wp:posOffset>
            </wp:positionH>
            <wp:positionV relativeFrom="page">
              <wp:posOffset>966470</wp:posOffset>
            </wp:positionV>
            <wp:extent cx="67964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6405" cy="8255"/>
                    </a:xfrm>
                    <a:prstGeom prst="rect">
                      <a:avLst/>
                    </a:prstGeom>
                    <a:noFill/>
                  </pic:spPr>
                </pic:pic>
              </a:graphicData>
            </a:graphic>
          </wp:anchor>
        </w:drawing>
        <w:drawing>
          <wp:anchor simplePos="0" relativeHeight="251657728" behindDoc="1" locked="0" layoutInCell="0" allowOverlap="1">
            <wp:simplePos x="0" y="0"/>
            <wp:positionH relativeFrom="page">
              <wp:posOffset>607695</wp:posOffset>
            </wp:positionH>
            <wp:positionV relativeFrom="page">
              <wp:posOffset>899160</wp:posOffset>
            </wp:positionV>
            <wp:extent cx="679640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96405" cy="165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CURRENT REPORT</w:t>
      </w:r>
    </w:p>
    <w:p>
      <w:pPr>
        <w:spacing w:after="0" w:line="45" w:lineRule="exact"/>
        <w:rPr>
          <w:sz w:val="24"/>
          <w:szCs w:val="24"/>
          <w:color w:val="auto"/>
        </w:rPr>
      </w:pPr>
    </w:p>
    <w:p>
      <w:pPr>
        <w:jc w:val="center"/>
        <w:ind w:left="360" w:right="2060"/>
        <w:spacing w:after="0" w:line="408" w:lineRule="auto"/>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 Date of Report (Date of earliest event reported): December 18, 2024 Commission File Number 1-13610</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CREATIVE MEDIA &amp; COMMUNITY TRUST CORPORATION</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20" w:type="dxa"/>
        <w:tblCellMar>
          <w:top w:w="0" w:type="dxa"/>
          <w:left w:w="0" w:type="dxa"/>
          <w:bottom w:w="0" w:type="dxa"/>
          <w:right w:w="0" w:type="dxa"/>
        </w:tblCellMar>
      </w:tblPr>
      <w:tr>
        <w:trPr>
          <w:trHeight w:val="226"/>
        </w:trPr>
        <w:tc>
          <w:tcPr>
            <w:tcW w:w="394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452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75-6446078</w:t>
            </w:r>
          </w:p>
        </w:tc>
      </w:tr>
      <w:tr>
        <w:trPr>
          <w:trHeight w:val="184"/>
        </w:trPr>
        <w:tc>
          <w:tcPr>
            <w:tcW w:w="3940" w:type="dxa"/>
            <w:vAlign w:val="bottom"/>
          </w:tcPr>
          <w:p>
            <w:pPr>
              <w:jc w:val="center"/>
              <w:ind w:right="392"/>
              <w:spacing w:after="0" w:line="184" w:lineRule="exact"/>
              <w:rPr>
                <w:sz w:val="20"/>
                <w:szCs w:val="20"/>
                <w:color w:val="auto"/>
              </w:rPr>
            </w:pPr>
            <w:r>
              <w:rPr>
                <w:rFonts w:ascii="Times New Roman" w:cs="Times New Roman" w:eastAsia="Times New Roman" w:hAnsi="Times New Roman"/>
                <w:sz w:val="18"/>
                <w:szCs w:val="18"/>
                <w:color w:val="auto"/>
                <w:w w:val="97"/>
              </w:rPr>
              <w:t>(State or Other Jurisdiction of</w:t>
            </w:r>
          </w:p>
        </w:tc>
        <w:tc>
          <w:tcPr>
            <w:tcW w:w="4520" w:type="dxa"/>
            <w:vAlign w:val="bottom"/>
          </w:tcPr>
          <w:p>
            <w:pPr>
              <w:jc w:val="center"/>
              <w:ind w:left="2192"/>
              <w:spacing w:after="0" w:line="184" w:lineRule="exact"/>
              <w:rPr>
                <w:sz w:val="20"/>
                <w:szCs w:val="20"/>
                <w:color w:val="auto"/>
              </w:rPr>
            </w:pPr>
            <w:r>
              <w:rPr>
                <w:rFonts w:ascii="Times New Roman" w:cs="Times New Roman" w:eastAsia="Times New Roman" w:hAnsi="Times New Roman"/>
                <w:sz w:val="18"/>
                <w:szCs w:val="18"/>
                <w:color w:val="auto"/>
                <w:w w:val="97"/>
              </w:rPr>
              <w:t>(I.R.S. Employer</w:t>
            </w:r>
          </w:p>
        </w:tc>
      </w:tr>
      <w:tr>
        <w:trPr>
          <w:trHeight w:val="222"/>
        </w:trPr>
        <w:tc>
          <w:tcPr>
            <w:tcW w:w="394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4520" w:type="dxa"/>
            <w:vAlign w:val="bottom"/>
          </w:tcPr>
          <w:p>
            <w:pPr>
              <w:jc w:val="center"/>
              <w:ind w:left="219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226"/>
        </w:trPr>
        <w:tc>
          <w:tcPr>
            <w:tcW w:w="394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7"/>
              </w:rPr>
              <w:t>5956 Sherry Lane, Suite 700, Dallas, TX 75225</w:t>
            </w:r>
          </w:p>
        </w:tc>
        <w:tc>
          <w:tcPr>
            <w:tcW w:w="452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(972) 349-3200</w:t>
            </w:r>
          </w:p>
        </w:tc>
      </w:tr>
      <w:tr>
        <w:trPr>
          <w:trHeight w:val="222"/>
        </w:trPr>
        <w:tc>
          <w:tcPr>
            <w:tcW w:w="3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520" w:type="dxa"/>
            <w:vAlign w:val="bottom"/>
          </w:tcPr>
          <w:p>
            <w:pPr>
              <w:jc w:val="center"/>
              <w:ind w:left="2192"/>
              <w:spacing w:after="0"/>
              <w:rPr>
                <w:sz w:val="20"/>
                <w:szCs w:val="20"/>
                <w:color w:val="auto"/>
              </w:rPr>
            </w:pPr>
            <w:r>
              <w:rPr>
                <w:rFonts w:ascii="Times New Roman" w:cs="Times New Roman" w:eastAsia="Times New Roman" w:hAnsi="Times New Roman"/>
                <w:sz w:val="18"/>
                <w:szCs w:val="18"/>
                <w:color w:val="auto"/>
                <w:w w:val="97"/>
              </w:rPr>
              <w:t>(Registrant's telephone number)</w:t>
            </w:r>
          </w:p>
        </w:tc>
      </w:tr>
      <w:tr>
        <w:trPr>
          <w:trHeight w:val="230"/>
        </w:trPr>
        <w:tc>
          <w:tcPr>
            <w:tcW w:w="3940" w:type="dxa"/>
            <w:vAlign w:val="bottom"/>
          </w:tcPr>
          <w:p>
            <w:pPr>
              <w:spacing w:after="0"/>
              <w:rPr>
                <w:sz w:val="20"/>
                <w:szCs w:val="20"/>
                <w:color w:val="auto"/>
              </w:rPr>
            </w:pPr>
          </w:p>
        </w:tc>
        <w:tc>
          <w:tcPr>
            <w:tcW w:w="45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None</w:t>
            </w:r>
          </w:p>
        </w:tc>
      </w:tr>
    </w:tbl>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9" w:lineRule="exact"/>
        <w:rPr>
          <w:sz w:val="24"/>
          <w:szCs w:val="24"/>
          <w:color w:val="auto"/>
        </w:rPr>
      </w:pPr>
    </w:p>
    <w:p>
      <w:pPr>
        <w:ind w:right="280" w:firstLine="632"/>
        <w:spacing w:after="0" w:line="26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4"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8"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8"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33"/>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Common Stock, $0.001 Par Value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CMCT</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r>
        <w:trPr>
          <w:trHeight w:val="263"/>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Common Stock, $0.001 Par Value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CMCT</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Tel Aviv Stock Exchange</w:t>
            </w:r>
          </w:p>
        </w:tc>
      </w:tr>
    </w:tbl>
    <w:p>
      <w:pPr>
        <w:spacing w:after="0" w:line="242" w:lineRule="exact"/>
        <w:rPr>
          <w:sz w:val="24"/>
          <w:szCs w:val="24"/>
          <w:color w:val="auto"/>
        </w:rPr>
      </w:pPr>
    </w:p>
    <w:p>
      <w:pPr>
        <w:ind w:right="120" w:firstLine="632"/>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8" w:lineRule="exact"/>
        <w:rPr>
          <w:sz w:val="24"/>
          <w:szCs w:val="24"/>
          <w:color w:val="auto"/>
        </w:rPr>
      </w:pPr>
    </w:p>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20" w:firstLine="632"/>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931545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217170</wp:posOffset>
            </wp:positionV>
            <wp:extent cx="6985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5635" cy="8255"/>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150495</wp:posOffset>
            </wp:positionV>
            <wp:extent cx="698563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5635" cy="165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6"/>
          <w:szCs w:val="16"/>
          <w:b w:val="1"/>
          <w:bCs w:val="1"/>
          <w:color w:val="auto"/>
        </w:rPr>
        <w:t>Unregistered Sale of Equity Securities.</w:t>
      </w:r>
    </w:p>
    <w:p>
      <w:pPr>
        <w:spacing w:after="0" w:line="16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December 10, 2024, Creative Media &amp; Community Trust Corporation (the “Company”) issued 367,069 shares of Common Stock in respect of redemptions of Company’s Series A1 Preferred Stock, par value $0.001 (the “Series A1 Preferred Stock”), in lieu of cash payment for the redemption of 4,000 shares of Series A1 Preferred Stock. Such redemptions were requested by the holders of Series A1 Preferred Stock based on the VWAP of the Common Stock for the 20 Trading Days immediately preceding each redemption date (with each such term as defined in the Company’s charter).</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December 18, 2024, the Company issued 4,658,333 shares of Common Stock in respect of redemptions of Company’s Series A1 Preferred Stock, in lieu of cash payment for the redemption of 46,149 shares of Series A1 Preferred Stock. Such redemptions were requested by the holders of Series A1 Preferred Stock based on the VWAP of the Common Stock for the 20 Trading Days immediately preceding each redemption date. Additionally, on December 18, 2024, the Company issued 3,072,728 shares of Common Stock in respect of redemptions of Company’s Series A Preferred Stock, par value $0.001 (the “Series A Preferred Stock”), in lieu of cash payment for the redemption of 29,542 shares of Series A Preferred Stock. Such redemptions were requested by the holders of Series A Preferred Stock based on the VWAP of the Common Stock for the 20 Trading Days immediately preceding each redemption date.</w:t>
      </w:r>
    </w:p>
    <w:p>
      <w:pPr>
        <w:spacing w:after="0" w:line="10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On December 19, 2024, the Company issued 2,529,356 shares of Common Stock in respect of redemptions of Company’s Series A1 Preferred Stock, in lieu of cash payment for the redemption of 25,061 shares of Series A1 Preferred Stock. Such redemptions were requested by the holders of Series A1 Preferred Stock based on the VWAP of the Common Stock for the 20 Trading Days immediately preceding each redemption date. Additionally, on December 19, 2024, the Company issued 3,614,078 shares of Common Stock in respect of redemptions of Company’s Series A Preferred Stock, in lieu of cash payment for the redemption of 34,511 shares of Series A Preferred Stock. Such redemptions were requested by the holders of Series A Preferred Stock based on the VWAP of the Common Stock for the 20 Trading Days immediately preceding each redemption date.</w:t>
      </w:r>
    </w:p>
    <w:p>
      <w:pPr>
        <w:spacing w:after="0" w:line="133"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color w:val="auto"/>
        </w:rPr>
        <w:t>The Company plans to continue to satisfy some or all redemption requests submitted by holders of our shares of Series A Preferred Stock and Series A1 Preferred Stock in shares of Common Stock through the end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1092200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303" w:right="419" w:bottom="1440" w:gutter="0" w:footer="0" w:header="0"/>
        </w:sectPr>
      </w:pPr>
    </w:p>
    <w:bookmarkStart w:id="2" w:name="page3"/>
    <w:bookmarkEnd w:id="2"/>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37" w:lineRule="exact"/>
        <w:rPr>
          <w:sz w:val="20"/>
          <w:szCs w:val="20"/>
          <w:color w:val="auto"/>
        </w:rPr>
      </w:pPr>
    </w:p>
    <w:p>
      <w:pPr>
        <w:ind w:firstLine="632"/>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CREATIVE MEDIA &amp; COMMUNITY TRUST CORPORATION</w:t>
      </w:r>
    </w:p>
    <w:p>
      <w:pPr>
        <w:sectPr>
          <w:pgSz w:w="11900" w:h="16838" w:orient="portrait"/>
          <w:cols w:equalWidth="0" w:num="1">
            <w:col w:w="10700"/>
          </w:cols>
          <w:pgMar w:left="320" w:top="1290" w:right="879" w:bottom="1440" w:gutter="0" w:footer="0" w:header="0"/>
        </w:sectPr>
      </w:pP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December 26, 2024</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1" w:lineRule="exact"/>
        <w:rPr>
          <w:sz w:val="20"/>
          <w:szCs w:val="20"/>
          <w:color w:val="auto"/>
        </w:rPr>
      </w:pPr>
    </w:p>
    <w:p>
      <w:pPr>
        <w:sectPr>
          <w:pgSz w:w="11900" w:h="16838" w:orient="portrait"/>
          <w:cols w:equalWidth="0" w:num="2">
            <w:col w:w="4180" w:space="720"/>
            <w:col w:w="5800"/>
          </w:cols>
          <w:pgMar w:left="320" w:top="1290" w:right="879" w:bottom="1440" w:gutter="0" w:footer="0" w:header="0"/>
          <w:type w:val="continuous"/>
        </w:sectPr>
      </w:pPr>
    </w:p>
    <w:p>
      <w:pPr>
        <w:ind w:left="5960"/>
        <w:spacing w:after="0" w:line="183" w:lineRule="auto"/>
        <w:rPr>
          <w:sz w:val="20"/>
          <w:szCs w:val="20"/>
          <w:color w:val="auto"/>
        </w:rPr>
      </w:pPr>
      <w:r>
        <w:rPr>
          <w:rFonts w:ascii="Times New Roman" w:cs="Times New Roman" w:eastAsia="Times New Roman" w:hAnsi="Times New Roman"/>
          <w:sz w:val="12"/>
          <w:szCs w:val="12"/>
          <w:u w:val="single" w:color="auto"/>
          <w:color w:val="auto"/>
        </w:rPr>
        <w:t>/s/ Barry N. Berlin</w:t>
      </w:r>
    </w:p>
    <w:p>
      <w:pPr>
        <w:ind w:left="5960"/>
        <w:spacing w:after="0"/>
        <w:rPr>
          <w:sz w:val="20"/>
          <w:szCs w:val="20"/>
          <w:color w:val="auto"/>
        </w:rPr>
      </w:pPr>
      <w:r>
        <w:rPr>
          <w:rFonts w:ascii="Times New Roman" w:cs="Times New Roman" w:eastAsia="Times New Roman" w:hAnsi="Times New Roman"/>
          <w:sz w:val="18"/>
          <w:szCs w:val="18"/>
          <w:color w:val="auto"/>
        </w:rPr>
        <w:t>Barry N. Berlin</w:t>
      </w:r>
    </w:p>
    <w:p>
      <w:pPr>
        <w:spacing w:after="0" w:line="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i w:val="1"/>
          <w:iCs w:val="1"/>
          <w:color w:val="auto"/>
        </w:rPr>
        <w:t>Chief Financial Officer</w:t>
      </w:r>
    </w:p>
    <w:sectPr>
      <w:pgSz w:w="11900" w:h="16838" w:orient="portrait"/>
      <w:cols w:equalWidth="0" w:num="1">
        <w:col w:w="10700"/>
      </w:cols>
      <w:pgMar w:left="320" w:top="1290" w:right="8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2024-12-26T15:21:07Z</dcterms:created>
  <dcterms:modified xsi:type="dcterms:W3CDTF">2024-12-26T15:21:07Z</dcterms:modified>
</cp:coreProperties>
</file>