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607695</wp:posOffset>
            </wp:positionH>
            <wp:positionV relativeFrom="page">
              <wp:posOffset>966470</wp:posOffset>
            </wp:positionV>
            <wp:extent cx="6796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6405" cy="8255"/>
                    </a:xfrm>
                    <a:prstGeom prst="rect">
                      <a:avLst/>
                    </a:prstGeom>
                    <a:noFill/>
                  </pic:spPr>
                </pic:pic>
              </a:graphicData>
            </a:graphic>
          </wp:anchor>
        </w:drawing>
        <w:drawing>
          <wp:anchor simplePos="0" relativeHeight="251657728" behindDoc="1" locked="0" layoutInCell="0" allowOverlap="1">
            <wp:simplePos x="0" y="0"/>
            <wp:positionH relativeFrom="page">
              <wp:posOffset>607695</wp:posOffset>
            </wp:positionH>
            <wp:positionV relativeFrom="page">
              <wp:posOffset>899160</wp:posOffset>
            </wp:positionV>
            <wp:extent cx="67964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6405" cy="165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Amendment No. 1</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48" w:lineRule="exact"/>
        <w:rPr>
          <w:sz w:val="24"/>
          <w:szCs w:val="24"/>
          <w:color w:val="auto"/>
        </w:rPr>
      </w:pPr>
    </w:p>
    <w:p>
      <w:pPr>
        <w:jc w:val="center"/>
        <w:ind w:left="360" w:right="2060"/>
        <w:spacing w:after="0" w:line="412" w:lineRule="auto"/>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 Date of Report (Date of earliest event reported): April 17, 2026 Commission File Number 1-13610</w:t>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CREATIVE MEDIA &amp; COMMUNITY TRUST CORPORATION</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26"/>
        </w:trPr>
        <w:tc>
          <w:tcPr>
            <w:tcW w:w="376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75-6446078</w:t>
            </w:r>
          </w:p>
        </w:tc>
      </w:tr>
      <w:tr>
        <w:trPr>
          <w:trHeight w:val="184"/>
        </w:trPr>
        <w:tc>
          <w:tcPr>
            <w:tcW w:w="3760" w:type="dxa"/>
            <w:vAlign w:val="bottom"/>
          </w:tcPr>
          <w:p>
            <w:pPr>
              <w:jc w:val="center"/>
              <w:ind w:right="452"/>
              <w:spacing w:after="0" w:line="184"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4580" w:type="dxa"/>
            <w:vAlign w:val="bottom"/>
          </w:tcPr>
          <w:p>
            <w:pPr>
              <w:jc w:val="center"/>
              <w:ind w:left="2252"/>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2"/>
        </w:trPr>
        <w:tc>
          <w:tcPr>
            <w:tcW w:w="37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458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26"/>
        </w:trPr>
        <w:tc>
          <w:tcPr>
            <w:tcW w:w="376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4700 Wilshire Blvd, Los Angeles, CA 90010</w:t>
            </w:r>
          </w:p>
        </w:tc>
        <w:tc>
          <w:tcPr>
            <w:tcW w:w="45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(866) 242-1266</w:t>
            </w:r>
          </w:p>
        </w:tc>
      </w:tr>
      <w:tr>
        <w:trPr>
          <w:trHeight w:val="222"/>
        </w:trPr>
        <w:tc>
          <w:tcPr>
            <w:tcW w:w="37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58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7"/>
              </w:rPr>
              <w:t>(Registrant's telephone number)</w:t>
            </w:r>
          </w:p>
        </w:tc>
      </w:tr>
      <w:tr>
        <w:trPr>
          <w:trHeight w:val="230"/>
        </w:trPr>
        <w:tc>
          <w:tcPr>
            <w:tcW w:w="3760" w:type="dxa"/>
            <w:vAlign w:val="bottom"/>
          </w:tcPr>
          <w:p>
            <w:pPr>
              <w:spacing w:after="0"/>
              <w:rPr>
                <w:sz w:val="20"/>
                <w:szCs w:val="20"/>
                <w:color w:val="auto"/>
              </w:rPr>
            </w:pPr>
          </w:p>
        </w:tc>
        <w:tc>
          <w:tcPr>
            <w:tcW w:w="45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9" w:lineRule="exact"/>
        <w:rPr>
          <w:sz w:val="24"/>
          <w:szCs w:val="24"/>
          <w:color w:val="auto"/>
        </w:rPr>
      </w:pPr>
    </w:p>
    <w:p>
      <w:pPr>
        <w:ind w:right="280" w:firstLine="632"/>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55" w:lineRule="exact"/>
        <w:rPr>
          <w:sz w:val="24"/>
          <w:szCs w:val="24"/>
          <w:color w:val="auto"/>
        </w:rPr>
      </w:pPr>
    </w:p>
    <w:p>
      <w:pPr>
        <w:ind w:right="120" w:firstLine="632"/>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20" w:firstLine="632"/>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217170</wp:posOffset>
            </wp:positionV>
            <wp:extent cx="6985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635" cy="825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150495</wp:posOffset>
            </wp:positionV>
            <wp:extent cx="69856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635" cy="165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Creative Media &amp; Community Trust Corporation (the “Company”) filed two amendments to its charter (each, an “Amendment” and collectively, the “Amendments”) with the State Department of Assessments and Taxation of Maryland, to effectuate a one-for-ten reverse stock split (the “Reverse Stock Split”) of the Company’s common stock, $0.001 par value per share (the “Common Stock”). Pursuant to the first Amendment, effective as of 11:58 pm Eastern Time on April 17, 2026 (the “Effective Time”), every ten shares of Common Stock, issued and outstanding immediately prior to the Effective Time will be automatically combined into one issued and outstanding share of common stock, par value $0.01 per share. The second Amendment, effective as of 11:59 pm Eastern Time on April 17, 2026, will revert the par value of the Company’s issued and outstanding common stock to $0.001 per share.</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information set forth above does not purport to be complete in scope and is qualified in its entirety by the full text of the Amendments, which are attached to this Current Report on Form 8-K as Exhibits 3.1 and 3.2 and incorporated into this Item 5.03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Exhibit</w:t>
      </w:r>
    </w:p>
    <w:p>
      <w:pPr>
        <w:ind w:left="260"/>
        <w:spacing w:after="0"/>
        <w:tabs>
          <w:tab w:leader="none" w:pos="550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18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ind w:left="780"/>
        <w:spacing w:after="0"/>
        <w:tabs>
          <w:tab w:leader="none" w:pos="12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u w:val="single" w:color="auto"/>
          <w:color w:val="0000FF"/>
        </w:rPr>
        <w:t>Creative Media &amp; Community Trust Corporation Articles of Amendment (reverse stock split).</w:t>
      </w:r>
    </w:p>
    <w:p>
      <w:pPr>
        <w:spacing w:after="0" w:line="21"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u w:val="single" w:color="auto"/>
          <w:color w:val="0000FF"/>
        </w:rPr>
        <w:t>Creative Media &amp; Community Trust Corporation Articles of Amendment (par value decrease).</w:t>
      </w:r>
    </w:p>
    <w:p>
      <w:pPr>
        <w:spacing w:after="0" w:line="17" w:lineRule="exact"/>
        <w:rPr>
          <w:sz w:val="20"/>
          <w:szCs w:val="20"/>
          <w:color w:val="auto"/>
        </w:rPr>
      </w:pPr>
    </w:p>
    <w:p>
      <w:pPr>
        <w:ind w:left="1220" w:hanging="403"/>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 w:lineRule="exact"/>
        <w:rPr>
          <w:sz w:val="20"/>
          <w:szCs w:val="20"/>
          <w:color w:val="auto"/>
        </w:rPr>
      </w:pPr>
    </w:p>
    <w:p>
      <w:pPr>
        <w:ind w:firstLine="632"/>
        <w:spacing w:after="0" w:line="23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220" w:type="dxa"/>
            <w:vAlign w:val="bottom"/>
          </w:tcPr>
          <w:p>
            <w:pPr>
              <w:spacing w:after="0"/>
              <w:rPr>
                <w:sz w:val="19"/>
                <w:szCs w:val="19"/>
                <w:color w:val="auto"/>
              </w:rPr>
            </w:pPr>
          </w:p>
        </w:tc>
        <w:tc>
          <w:tcPr>
            <w:tcW w:w="662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w w:val="96"/>
              </w:rPr>
              <w:t>CREATIVE MEDIA &amp; COMMUNITY TRUST CORPORATION</w:t>
            </w:r>
          </w:p>
        </w:tc>
      </w:tr>
      <w:tr>
        <w:trPr>
          <w:trHeight w:val="24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22, 2026</w:t>
            </w:r>
          </w:p>
        </w:tc>
        <w:tc>
          <w:tcPr>
            <w:tcW w:w="27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Brandon Hill</w:t>
            </w:r>
          </w:p>
        </w:tc>
      </w:tr>
      <w:tr>
        <w:trPr>
          <w:trHeight w:val="210"/>
        </w:trPr>
        <w:tc>
          <w:tcPr>
            <w:tcW w:w="3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Brandon Hill</w:t>
            </w:r>
          </w:p>
        </w:tc>
        <w:tc>
          <w:tcPr>
            <w:tcW w:w="278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320" w:top="1290" w:right="8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CREATIVE MEDIA &amp; COMMUNITY TRUST CORPORATION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ARTICLES OF AMENDMENT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TO CERTIFY THAT:</w:t>
      </w:r>
    </w:p>
    <w:p>
      <w:pPr>
        <w:spacing w:after="0" w:line="259" w:lineRule="exact"/>
        <w:rPr>
          <w:sz w:val="20"/>
          <w:szCs w:val="20"/>
          <w:color w:val="auto"/>
        </w:rPr>
      </w:pPr>
    </w:p>
    <w:p>
      <w:pPr>
        <w:ind w:right="100" w:firstLine="421"/>
        <w:spacing w:after="0" w:line="255"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The charter (the “Charter”) of Creative Media &amp; Community Trust Corporation, a Maryland corporation (the “Corporation”), is hereby amended to provide that, immediately upon the Effective Time (as defined below), every 10 shares of common stock, $0.001 par value per share, of the Corporation which were issued and outstanding immediately prior to the Effective Time shall be combined into one issued and outstanding share of common stock, $0.010 par value per share, of the Corporation. Upon the Effective Time, no fractional shares of Common Stock of the Corporation will be or remain issued and each stockholder otherwise entitled to a fractional share shall be entitled to receive in lieu thereof cash in an amount equal to the product of the fraction of a share multiplied by the closing price of the Common Stock as reported by the NASDAQ Stock Market on the date of the Effective Time.</w:t>
      </w:r>
    </w:p>
    <w:p>
      <w:pPr>
        <w:spacing w:after="0" w:line="184" w:lineRule="exact"/>
        <w:rPr>
          <w:sz w:val="20"/>
          <w:szCs w:val="20"/>
          <w:color w:val="auto"/>
        </w:rPr>
      </w:pPr>
    </w:p>
    <w:p>
      <w:pPr>
        <w:jc w:val="both"/>
        <w:ind w:right="20" w:firstLine="421"/>
        <w:spacing w:after="0" w:line="252"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The amendment to the Charter as set forth above has been duly approved by at least a majority of the entire Board of Directors as required by law. The amendment set forth herein is made without action by the stockholders of the Corporation pursuant to Section 2-309(e) of the Maryland General Corporation Law.</w:t>
      </w:r>
    </w:p>
    <w:p>
      <w:pPr>
        <w:spacing w:after="0" w:line="200" w:lineRule="exact"/>
        <w:rPr>
          <w:sz w:val="20"/>
          <w:szCs w:val="20"/>
          <w:color w:val="auto"/>
        </w:rPr>
      </w:pPr>
    </w:p>
    <w:p>
      <w:pPr>
        <w:jc w:val="both"/>
        <w:ind w:firstLine="1263"/>
        <w:spacing w:after="0" w:line="282" w:lineRule="auto"/>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There has been no increase in the authorized shares of stock of the Corporation effected by the amendment to the Charter as set forth above.</w:t>
      </w:r>
    </w:p>
    <w:p>
      <w:pPr>
        <w:spacing w:after="0" w:line="169" w:lineRule="exact"/>
        <w:rPr>
          <w:sz w:val="20"/>
          <w:szCs w:val="20"/>
          <w:color w:val="auto"/>
        </w:rPr>
      </w:pPr>
    </w:p>
    <w:p>
      <w:pPr>
        <w:ind w:left="1260"/>
        <w:spacing w:after="0"/>
        <w:tabs>
          <w:tab w:leader="none" w:pos="2340" w:val="left"/>
        </w:tabs>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These Articles of Amendment shall become effective at 11:58 p.m., ET on April 17, 2026 (the “Effective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208" w:lineRule="exact"/>
        <w:rPr>
          <w:sz w:val="20"/>
          <w:szCs w:val="20"/>
          <w:color w:val="auto"/>
        </w:rPr>
      </w:pPr>
    </w:p>
    <w:p>
      <w:pPr>
        <w:ind w:right="100" w:firstLine="1263"/>
        <w:spacing w:after="0" w:line="259" w:lineRule="auto"/>
        <w:rPr>
          <w:sz w:val="20"/>
          <w:szCs w:val="20"/>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1385" w:right="339" w:bottom="1440" w:gutter="0" w:footer="0" w:header="0"/>
        </w:sectPr>
      </w:pPr>
    </w:p>
    <w:bookmarkStart w:id="4" w:name="page5"/>
    <w:bookmarkEnd w:id="4"/>
    <w:p>
      <w:pPr>
        <w:ind w:firstLine="1263"/>
        <w:spacing w:after="0" w:line="291" w:lineRule="auto"/>
        <w:rPr>
          <w:sz w:val="20"/>
          <w:szCs w:val="20"/>
          <w:color w:val="auto"/>
        </w:rPr>
      </w:pPr>
      <w:r>
        <w:rPr>
          <w:rFonts w:ascii="Times New Roman" w:cs="Times New Roman" w:eastAsia="Times New Roman" w:hAnsi="Times New Roman"/>
          <w:sz w:val="21"/>
          <w:szCs w:val="21"/>
          <w:color w:val="auto"/>
        </w:rPr>
        <w:t>IN WITNESS WHEREOF, the Corporation has caused these Articles of Amendment to be signed in its name and on its behalf by its Chief Executive Officer and attested to by its Chief Financial Officer on this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April 2026.</w:t>
      </w:r>
    </w:p>
    <w:p>
      <w:pPr>
        <w:sectPr>
          <w:pgSz w:w="11900" w:h="16838" w:orient="portrait"/>
          <w:cols w:equalWidth="0" w:num="1">
            <w:col w:w="11100"/>
          </w:cols>
          <w:pgMar w:left="320" w:top="1389"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ATTEST: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CREATIVE MEDIA &amp; COMMUNITY TRUST</w:t>
      </w:r>
    </w:p>
    <w:p>
      <w:pPr>
        <w:spacing w:after="0" w:line="4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CORPORATION</w:t>
      </w:r>
    </w:p>
    <w:p>
      <w:pPr>
        <w:spacing w:after="0" w:line="200" w:lineRule="exact"/>
        <w:rPr>
          <w:sz w:val="20"/>
          <w:szCs w:val="20"/>
          <w:color w:val="auto"/>
        </w:rPr>
      </w:pPr>
    </w:p>
    <w:p>
      <w:pPr>
        <w:sectPr>
          <w:pgSz w:w="11900" w:h="16838" w:orient="portrait"/>
          <w:cols w:equalWidth="0" w:num="2">
            <w:col w:w="1140" w:space="720"/>
            <w:col w:w="9240"/>
          </w:cols>
          <w:pgMar w:left="320" w:top="1389" w:right="47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Thompson</w:t>
      </w:r>
      <w:r>
        <w:rPr>
          <w:rFonts w:ascii="Times New Roman" w:cs="Times New Roman" w:eastAsia="Times New Roman" w:hAnsi="Times New Roman"/>
          <w:sz w:val="21"/>
          <w:szCs w:val="21"/>
          <w:color w:val="auto"/>
        </w:rPr>
        <w:t xml:space="preserve"> (SEAL)</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David Thompson</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/s/Brandon Hill</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Brandon Hill</w:t>
      </w:r>
    </w:p>
    <w:p>
      <w:pPr>
        <w:spacing w:after="0" w:line="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 Chief Financial Officer</w:t>
      </w:r>
    </w:p>
    <w:p>
      <w:pPr>
        <w:sectPr>
          <w:pgSz w:w="11900" w:h="16838" w:orient="portrait"/>
          <w:cols w:equalWidth="0" w:num="1">
            <w:col w:w="11100"/>
          </w:cols>
          <w:pgMar w:left="320" w:top="1389" w:right="47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CREATIVE MEDIA &amp; COMMUNITY TRUST CORPORATION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ARTICLES OF AMENDMENT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TO CERTIFY THAT:</w:t>
      </w:r>
    </w:p>
    <w:p>
      <w:pPr>
        <w:spacing w:after="0" w:line="34" w:lineRule="exact"/>
        <w:rPr>
          <w:sz w:val="20"/>
          <w:szCs w:val="20"/>
          <w:color w:val="auto"/>
        </w:rPr>
      </w:pPr>
    </w:p>
    <w:p>
      <w:pPr>
        <w:ind w:right="100" w:firstLine="421"/>
        <w:spacing w:after="0" w:line="255"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The charter (the “Charter”) of Creative Media &amp; Community Trust Corporation, a Maryland corporation (the “Corporation”), is hereby amended to decrease, immediately upon the Effective Time (as defined below), the par value of the shares of common stock of the Corporation issued and outstanding immediately prior to the filing of these Articles of Amendment from $0.010 per share to $0.001 per share.</w:t>
      </w:r>
    </w:p>
    <w:p>
      <w:pPr>
        <w:spacing w:after="0" w:line="198" w:lineRule="exact"/>
        <w:rPr>
          <w:sz w:val="20"/>
          <w:szCs w:val="20"/>
          <w:color w:val="auto"/>
        </w:rPr>
      </w:pPr>
    </w:p>
    <w:p>
      <w:pPr>
        <w:ind w:right="20" w:firstLine="421"/>
        <w:spacing w:after="0" w:line="271"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The amendment to the Charter as set forth above has been duly approved by at least a majority of the entire Board of Directors as required by law. The amendment set forth herein is made without action by the stockholders of the Corporation, pursuant to Section 2-605(a)(2) of the Maryland General Corporation Law.</w:t>
      </w:r>
    </w:p>
    <w:p>
      <w:pPr>
        <w:spacing w:after="0" w:line="182"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There has been no increase in the authorized shares of stock of the Corporation effected by the amendment to the Charter as set forth above.</w:t>
      </w:r>
    </w:p>
    <w:p>
      <w:pPr>
        <w:spacing w:after="0" w:line="169" w:lineRule="exact"/>
        <w:rPr>
          <w:sz w:val="20"/>
          <w:szCs w:val="20"/>
          <w:color w:val="auto"/>
        </w:rPr>
      </w:pPr>
    </w:p>
    <w:p>
      <w:pPr>
        <w:ind w:left="1260"/>
        <w:spacing w:after="0"/>
        <w:tabs>
          <w:tab w:leader="none" w:pos="2340" w:val="left"/>
        </w:tabs>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These Articles of Amendment shall become effective at 11:59 p.m., ET on April 17, 2026 (the “Effective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208" w:lineRule="exact"/>
        <w:rPr>
          <w:sz w:val="20"/>
          <w:szCs w:val="20"/>
          <w:color w:val="auto"/>
        </w:rPr>
      </w:pPr>
    </w:p>
    <w:p>
      <w:pPr>
        <w:ind w:right="100" w:firstLine="1263"/>
        <w:spacing w:after="0" w:line="259" w:lineRule="auto"/>
        <w:rPr>
          <w:sz w:val="20"/>
          <w:szCs w:val="20"/>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240"/>
          </w:cols>
          <w:pgMar w:left="320" w:top="1385" w:right="339" w:bottom="1440" w:gutter="0" w:footer="0" w:header="0"/>
        </w:sectPr>
      </w:pPr>
    </w:p>
    <w:bookmarkStart w:id="6" w:name="page7"/>
    <w:bookmarkEnd w:id="6"/>
    <w:p>
      <w:pPr>
        <w:ind w:firstLine="1263"/>
        <w:spacing w:after="0" w:line="291" w:lineRule="auto"/>
        <w:rPr>
          <w:sz w:val="20"/>
          <w:szCs w:val="20"/>
          <w:color w:val="auto"/>
        </w:rPr>
      </w:pPr>
      <w:r>
        <w:rPr>
          <w:rFonts w:ascii="Times New Roman" w:cs="Times New Roman" w:eastAsia="Times New Roman" w:hAnsi="Times New Roman"/>
          <w:sz w:val="21"/>
          <w:szCs w:val="21"/>
          <w:color w:val="auto"/>
        </w:rPr>
        <w:t>IN WITNESS WHEREOF, the Corporation has caused these Articles of Amendment to be signed in its name and on its behalf by its Chief Executive Officer and attested to by its Chief Financial Officer on this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April 2026.</w:t>
      </w:r>
    </w:p>
    <w:p>
      <w:pPr>
        <w:sectPr>
          <w:pgSz w:w="11900" w:h="16838" w:orient="portrait"/>
          <w:cols w:equalWidth="0" w:num="1">
            <w:col w:w="11100"/>
          </w:cols>
          <w:pgMar w:left="320" w:top="1389"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ATTEST: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CREATIVE MEDIA &amp; COMMUNITY TRUST</w:t>
      </w:r>
    </w:p>
    <w:p>
      <w:pPr>
        <w:spacing w:after="0" w:line="4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CORPORATION</w:t>
      </w:r>
    </w:p>
    <w:p>
      <w:pPr>
        <w:spacing w:after="0" w:line="200" w:lineRule="exact"/>
        <w:rPr>
          <w:sz w:val="20"/>
          <w:szCs w:val="20"/>
          <w:color w:val="auto"/>
        </w:rPr>
      </w:pPr>
    </w:p>
    <w:p>
      <w:pPr>
        <w:sectPr>
          <w:pgSz w:w="11900" w:h="16838" w:orient="portrait"/>
          <w:cols w:equalWidth="0" w:num="2">
            <w:col w:w="1140" w:space="720"/>
            <w:col w:w="9240"/>
          </w:cols>
          <w:pgMar w:left="320" w:top="1389" w:right="47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Thompson</w:t>
      </w:r>
      <w:r>
        <w:rPr>
          <w:rFonts w:ascii="Times New Roman" w:cs="Times New Roman" w:eastAsia="Times New Roman" w:hAnsi="Times New Roman"/>
          <w:sz w:val="21"/>
          <w:szCs w:val="21"/>
          <w:color w:val="auto"/>
        </w:rPr>
        <w:t xml:space="preserve"> (SEAL)</w:t>
      </w:r>
    </w:p>
    <w:p>
      <w:pPr>
        <w:spacing w:after="0" w:line="3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David Thompson</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/s/Brandon Hill</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 Brandon Hill</w:t>
      </w:r>
    </w:p>
    <w:p>
      <w:pPr>
        <w:spacing w:after="0" w:line="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 Chief Financial Officer</w:t>
      </w:r>
    </w:p>
    <w:sectPr>
      <w:pgSz w:w="11900" w:h="16838" w:orient="portrait"/>
      <w:cols w:equalWidth="0" w:num="1">
        <w:col w:w="11100"/>
      </w:cols>
      <w:pgMar w:left="320" w:top="138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2026-04-22T16:18:35Z</dcterms:created>
  <dcterms:modified xsi:type="dcterms:W3CDTF">2026-04-22T16:18:35Z</dcterms:modified>
</cp:coreProperties>
</file>