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57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5756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Shemesh Avraham</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20"/>
              <w:spacing w:after="0"/>
              <w:rPr>
                <w:sz w:val="20"/>
                <w:szCs w:val="20"/>
                <w:color w:val="auto"/>
              </w:rPr>
            </w:pPr>
            <w:r>
              <w:rPr>
                <w:rFonts w:ascii="Arial" w:cs="Arial" w:eastAsia="Arial" w:hAnsi="Arial"/>
                <w:sz w:val="14"/>
                <w:szCs w:val="14"/>
                <w:color w:val="auto"/>
              </w:rPr>
              <w:t>(First)</w:t>
            </w:r>
          </w:p>
        </w:tc>
        <w:tc>
          <w:tcPr>
            <w:tcW w:w="15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4700 WILSHIRE BLVD</w:t>
            </w:r>
          </w:p>
        </w:tc>
        <w:tc>
          <w:tcPr>
            <w:tcW w:w="15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540" w:type="dxa"/>
            <w:vAlign w:val="bottom"/>
          </w:tcPr>
          <w:p>
            <w:pPr>
              <w:ind w:left="360"/>
              <w:spacing w:after="0"/>
              <w:rPr>
                <w:sz w:val="20"/>
                <w:szCs w:val="20"/>
                <w:color w:val="auto"/>
              </w:rPr>
            </w:pPr>
            <w:r>
              <w:rPr>
                <w:rFonts w:ascii="Arial" w:cs="Arial" w:eastAsia="Arial" w:hAnsi="Arial"/>
                <w:sz w:val="18"/>
                <w:szCs w:val="18"/>
                <w:color w:val="0000FF"/>
              </w:rPr>
              <w:t>90010</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20"/>
              <w:spacing w:after="0"/>
              <w:rPr>
                <w:sz w:val="20"/>
                <w:szCs w:val="20"/>
                <w:color w:val="auto"/>
              </w:rPr>
            </w:pPr>
            <w:r>
              <w:rPr>
                <w:rFonts w:ascii="Arial" w:cs="Arial" w:eastAsia="Arial" w:hAnsi="Arial"/>
                <w:sz w:val="14"/>
                <w:szCs w:val="14"/>
                <w:color w:val="auto"/>
              </w:rPr>
              <w:t>(State)</w:t>
            </w:r>
          </w:p>
        </w:tc>
        <w:tc>
          <w:tcPr>
            <w:tcW w:w="154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40" w:type="dxa"/>
            <w:vAlign w:val="bottom"/>
            <w:tcBorders>
              <w:bottom w:val="single" w:sz="8" w:color="0000EE"/>
            </w:tcBorders>
            <w:gridSpan w:val="2"/>
          </w:tcPr>
          <w:p>
            <w:pPr>
              <w:spacing w:after="0" w:line="210" w:lineRule="exact"/>
              <w:rPr>
                <w:rFonts w:ascii="Arial" w:cs="Arial" w:eastAsia="Arial" w:hAnsi="Arial"/>
                <w:sz w:val="22"/>
                <w:szCs w:val="22"/>
                <w:color w:val="0000EE"/>
                <w:w w:val="91"/>
              </w:rPr>
            </w:pPr>
            <w:hyperlink r:id="rId13">
              <w:r>
                <w:rPr>
                  <w:rFonts w:ascii="Arial" w:cs="Arial" w:eastAsia="Arial" w:hAnsi="Arial"/>
                  <w:sz w:val="22"/>
                  <w:szCs w:val="22"/>
                  <w:color w:val="0000EE"/>
                  <w:w w:val="91"/>
                </w:rPr>
                <w:t>Creative Media &amp; Community Trust Corp</w:t>
              </w:r>
            </w:hyperlink>
          </w:p>
        </w:tc>
        <w:tc>
          <w:tcPr>
            <w:tcW w:w="12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3760" w:type="dxa"/>
            <w:vAlign w:val="bottom"/>
            <w:gridSpan w:val="3"/>
          </w:tcPr>
          <w:p>
            <w:pPr>
              <w:spacing w:after="0" w:line="23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CMCT</w:t>
            </w:r>
            <w:r>
              <w:rPr>
                <w:rFonts w:ascii="Arial" w:cs="Arial" w:eastAsia="Arial" w:hAnsi="Arial"/>
                <w:sz w:val="22"/>
                <w:szCs w:val="22"/>
                <w:color w:val="auto"/>
              </w:rPr>
              <w:t xml:space="preserve"> ]</w:t>
            </w:r>
          </w:p>
        </w:tc>
        <w:tc>
          <w:tcPr>
            <w:tcW w:w="200" w:type="dxa"/>
            <w:vAlign w:val="bottom"/>
          </w:tcPr>
          <w:p>
            <w:pPr>
              <w:spacing w:after="0"/>
              <w:rPr>
                <w:sz w:val="20"/>
                <w:szCs w:val="20"/>
                <w:color w:val="auto"/>
              </w:rPr>
            </w:pPr>
          </w:p>
        </w:tc>
        <w:tc>
          <w:tcPr>
            <w:tcW w:w="1480" w:type="dxa"/>
            <w:vAlign w:val="bottom"/>
          </w:tcPr>
          <w:p>
            <w:pPr>
              <w:ind w:left="6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tcPr>
          <w:p>
            <w:pPr>
              <w:ind w:left="14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72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05/26/2023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right="163"/>
              <w:spacing w:after="0"/>
              <w:rPr>
                <w:sz w:val="20"/>
                <w:szCs w:val="20"/>
                <w:color w:val="auto"/>
              </w:rPr>
            </w:pPr>
            <w:r>
              <w:rPr>
                <w:rFonts w:ascii="Arial" w:cs="Arial" w:eastAsia="Arial" w:hAnsi="Arial"/>
                <w:sz w:val="18"/>
                <w:szCs w:val="18"/>
                <w:color w:val="0000FF"/>
                <w:w w:val="90"/>
              </w:rPr>
              <w:t>21,122</w:t>
            </w: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center"/>
              <w:ind w:left="12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5.06</w:t>
            </w:r>
          </w:p>
        </w:tc>
        <w:tc>
          <w:tcPr>
            <w:tcW w:w="280" w:type="dxa"/>
            <w:vAlign w:val="bottom"/>
          </w:tcPr>
          <w:p>
            <w:pPr>
              <w:spacing w:after="0"/>
              <w:rPr>
                <w:sz w:val="18"/>
                <w:szCs w:val="18"/>
                <w:color w:val="auto"/>
              </w:rPr>
            </w:pPr>
          </w:p>
        </w:tc>
        <w:tc>
          <w:tcPr>
            <w:tcW w:w="1400" w:type="dxa"/>
            <w:vAlign w:val="bottom"/>
            <w:gridSpan w:val="2"/>
            <w:vMerge w:val="restart"/>
          </w:tcPr>
          <w:p>
            <w:pPr>
              <w:jc w:val="center"/>
              <w:ind w:right="359"/>
              <w:spacing w:after="0"/>
              <w:rPr>
                <w:sz w:val="20"/>
                <w:szCs w:val="20"/>
                <w:color w:val="auto"/>
              </w:rPr>
            </w:pPr>
            <w:r>
              <w:rPr>
                <w:rFonts w:ascii="Arial" w:cs="Arial" w:eastAsia="Arial" w:hAnsi="Arial"/>
                <w:sz w:val="18"/>
                <w:szCs w:val="18"/>
                <w:color w:val="0000FF"/>
                <w:w w:val="87"/>
              </w:rPr>
              <w:t>9,155,416</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CMCT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MLP,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05/30/2023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right="163"/>
              <w:spacing w:after="0"/>
              <w:rPr>
                <w:sz w:val="20"/>
                <w:szCs w:val="20"/>
                <w:color w:val="auto"/>
              </w:rPr>
            </w:pPr>
            <w:r>
              <w:rPr>
                <w:rFonts w:ascii="Arial" w:cs="Arial" w:eastAsia="Arial" w:hAnsi="Arial"/>
                <w:sz w:val="18"/>
                <w:szCs w:val="18"/>
                <w:color w:val="0000FF"/>
                <w:w w:val="84"/>
              </w:rPr>
              <w:t>9,300</w:t>
            </w: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90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5.0948</w:t>
            </w:r>
            <w:r>
              <w:rPr>
                <w:rFonts w:ascii="Arial" w:cs="Arial" w:eastAsia="Arial" w:hAnsi="Arial"/>
                <w:sz w:val="22"/>
                <w:szCs w:val="22"/>
                <w:color w:val="008000"/>
                <w:w w:val="84"/>
                <w:vertAlign w:val="superscript"/>
              </w:rPr>
              <w:t>(3)</w:t>
            </w:r>
          </w:p>
        </w:tc>
        <w:tc>
          <w:tcPr>
            <w:tcW w:w="1400" w:type="dxa"/>
            <w:vAlign w:val="bottom"/>
            <w:gridSpan w:val="2"/>
            <w:vMerge w:val="restart"/>
          </w:tcPr>
          <w:p>
            <w:pPr>
              <w:jc w:val="center"/>
              <w:ind w:right="359"/>
              <w:spacing w:after="0"/>
              <w:rPr>
                <w:sz w:val="20"/>
                <w:szCs w:val="20"/>
                <w:color w:val="auto"/>
              </w:rPr>
            </w:pPr>
            <w:r>
              <w:rPr>
                <w:rFonts w:ascii="Arial" w:cs="Arial" w:eastAsia="Arial" w:hAnsi="Arial"/>
                <w:sz w:val="18"/>
                <w:szCs w:val="18"/>
                <w:color w:val="0000FF"/>
                <w:w w:val="87"/>
              </w:rPr>
              <w:t>9,164,716</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CMCT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MLP,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05/31/2023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right="163"/>
              <w:spacing w:after="0"/>
              <w:rPr>
                <w:sz w:val="20"/>
                <w:szCs w:val="20"/>
                <w:color w:val="auto"/>
              </w:rPr>
            </w:pPr>
            <w:r>
              <w:rPr>
                <w:rFonts w:ascii="Arial" w:cs="Arial" w:eastAsia="Arial" w:hAnsi="Arial"/>
                <w:sz w:val="18"/>
                <w:szCs w:val="18"/>
                <w:color w:val="0000FF"/>
                <w:w w:val="84"/>
              </w:rPr>
              <w:t>4,200</w:t>
            </w: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center"/>
              <w:ind w:left="149"/>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5.2</w:t>
            </w:r>
          </w:p>
        </w:tc>
        <w:tc>
          <w:tcPr>
            <w:tcW w:w="280" w:type="dxa"/>
            <w:vAlign w:val="bottom"/>
          </w:tcPr>
          <w:p>
            <w:pPr>
              <w:spacing w:after="0"/>
              <w:rPr>
                <w:sz w:val="18"/>
                <w:szCs w:val="18"/>
                <w:color w:val="auto"/>
              </w:rPr>
            </w:pPr>
          </w:p>
        </w:tc>
        <w:tc>
          <w:tcPr>
            <w:tcW w:w="1400" w:type="dxa"/>
            <w:vAlign w:val="bottom"/>
            <w:gridSpan w:val="2"/>
            <w:vMerge w:val="restart"/>
          </w:tcPr>
          <w:p>
            <w:pPr>
              <w:jc w:val="center"/>
              <w:ind w:right="359"/>
              <w:spacing w:after="0"/>
              <w:rPr>
                <w:sz w:val="20"/>
                <w:szCs w:val="20"/>
                <w:color w:val="auto"/>
              </w:rPr>
            </w:pPr>
            <w:r>
              <w:rPr>
                <w:rFonts w:ascii="Arial" w:cs="Arial" w:eastAsia="Arial" w:hAnsi="Arial"/>
                <w:sz w:val="18"/>
                <w:szCs w:val="18"/>
                <w:color w:val="0000FF"/>
                <w:w w:val="87"/>
              </w:rPr>
              <w:t>9,168,916</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CMCT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MLP,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0000FF"/>
                <w:w w:val="86"/>
              </w:rPr>
              <w:t>473,033</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Urban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Sponsor,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CIM Real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0000FF"/>
                <w:w w:val="86"/>
              </w:rPr>
              <w:t>388,344</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Assets &amp;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Credit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line="278" w:lineRule="exact"/>
              <w:rPr>
                <w:sz w:val="20"/>
                <w:szCs w:val="20"/>
                <w:color w:val="auto"/>
              </w:rPr>
            </w:pPr>
            <w:r>
              <w:rPr>
                <w:rFonts w:ascii="Arial" w:cs="Arial" w:eastAsia="Arial" w:hAnsi="Arial"/>
                <w:sz w:val="32"/>
                <w:szCs w:val="32"/>
                <w:color w:val="0000FF"/>
                <w:vertAlign w:val="subscript"/>
              </w:rPr>
              <w:t>Fund</w:t>
            </w:r>
            <w:r>
              <w:rPr>
                <w:rFonts w:ascii="Arial" w:cs="Arial" w:eastAsia="Arial" w:hAnsi="Arial"/>
                <w:sz w:val="11"/>
                <w:szCs w:val="11"/>
                <w:color w:val="008000"/>
              </w:rPr>
              <w:t>(1)(4)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0000FF"/>
                <w:w w:val="87"/>
              </w:rPr>
              <w:t>45,420</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0" w:type="dxa"/>
            <w:vAlign w:val="bottom"/>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may be deemed to beneficially own all of these shares because of his position with CIM Group,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CIM Group, LLC is the indirect sole equity member of the entity through which these shares are held.</w:t>
      </w:r>
    </w:p>
    <w:p>
      <w:pPr>
        <w:sectPr>
          <w:pgSz w:w="11900" w:h="16838" w:orient="portrait"/>
          <w:cols w:equalWidth="0" w:num="1">
            <w:col w:w="11080"/>
          </w:cols>
          <w:pgMar w:left="460" w:top="226" w:right="359" w:bottom="0" w:gutter="0" w:footer="0" w:header="0"/>
          <w:type w:val="continuous"/>
        </w:sectPr>
      </w:pPr>
    </w:p>
    <w:bookmarkStart w:id="1" w:name="page2"/>
    <w:bookmarkEnd w:id="1"/>
    <w:p>
      <w:pPr>
        <w:ind w:firstLine="9"/>
        <w:spacing w:after="0" w:line="305"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reflects the weighted average price, rounded to the nearest cent, of shares purchased in the open market at prices ranging from $5.09 to $5.11 per share. The reporting person hereby undertakes to provide upon request to the SEC staff, the issuer or a security holder of the issuer full information regarding the number of shares and prices at which the transaction was effected.</w:t>
      </w: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CIM Capital IC Management, LLC, the investment advisor of CIM Real Assets &amp; Credit Fund, is an indirect wholly owned subsidiary of CIM Group, LLC.</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Shemesh Family Trust of which the reporting person was the grantor and the indirect beneficial owner.</w:t>
      </w:r>
    </w:p>
    <w:p>
      <w:pPr>
        <w:spacing w:after="0" w:line="48"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David Thompson,</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05/31/2023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280" w:type="dxa"/>
            <w:vAlign w:val="bottom"/>
            <w:vMerge w:val="restart"/>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4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1805" TargetMode="External"/><Relationship Id="rId13" Type="http://schemas.openxmlformats.org/officeDocument/2006/relationships/hyperlink" Target="http://www.sec.gov/cgi-bin/browse-edgar?action=getcompany&amp;CIK=0000908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2023-05-31T18:03:21Z</dcterms:created>
  <dcterms:modified xsi:type="dcterms:W3CDTF">2023-05-31T18:03:21Z</dcterms:modified>
</cp:coreProperties>
</file>