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607695</wp:posOffset>
            </wp:positionH>
            <wp:positionV relativeFrom="page">
              <wp:posOffset>966470</wp:posOffset>
            </wp:positionV>
            <wp:extent cx="67964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96405" cy="8255"/>
                    </a:xfrm>
                    <a:prstGeom prst="rect">
                      <a:avLst/>
                    </a:prstGeom>
                    <a:noFill/>
                  </pic:spPr>
                </pic:pic>
              </a:graphicData>
            </a:graphic>
          </wp:anchor>
        </w:drawing>
        <w:drawing>
          <wp:anchor simplePos="0" relativeHeight="251657728" behindDoc="1" locked="0" layoutInCell="0" allowOverlap="1">
            <wp:simplePos x="0" y="0"/>
            <wp:positionH relativeFrom="page">
              <wp:posOffset>607695</wp:posOffset>
            </wp:positionH>
            <wp:positionV relativeFrom="page">
              <wp:posOffset>899160</wp:posOffset>
            </wp:positionV>
            <wp:extent cx="679640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96405" cy="165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8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8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CURRENT REPORT</w:t>
      </w:r>
    </w:p>
    <w:p>
      <w:pPr>
        <w:spacing w:after="0" w:line="45" w:lineRule="exact"/>
        <w:rPr>
          <w:sz w:val="24"/>
          <w:szCs w:val="24"/>
          <w:color w:val="auto"/>
        </w:rPr>
      </w:pPr>
    </w:p>
    <w:p>
      <w:pPr>
        <w:jc w:val="center"/>
        <w:ind w:left="360" w:right="2060"/>
        <w:spacing w:after="0" w:line="408" w:lineRule="auto"/>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 Date of Report (Date of earliest event reported): January 8, 2025 Commission File Number 1-13610</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CREATIVE MEDIA &amp; COMMUNITY TRUST CORPORATION</w:t>
      </w:r>
    </w:p>
    <w:p>
      <w:pPr>
        <w:spacing w:after="0" w:line="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020" w:type="dxa"/>
        <w:tblCellMar>
          <w:top w:w="0" w:type="dxa"/>
          <w:left w:w="0" w:type="dxa"/>
          <w:bottom w:w="0" w:type="dxa"/>
          <w:right w:w="0" w:type="dxa"/>
        </w:tblCellMar>
      </w:tblPr>
      <w:tr>
        <w:trPr>
          <w:trHeight w:val="226"/>
        </w:trPr>
        <w:tc>
          <w:tcPr>
            <w:tcW w:w="3940" w:type="dxa"/>
            <w:vAlign w:val="bottom"/>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452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75-6446078</w:t>
            </w:r>
          </w:p>
        </w:tc>
      </w:tr>
      <w:tr>
        <w:trPr>
          <w:trHeight w:val="184"/>
        </w:trPr>
        <w:tc>
          <w:tcPr>
            <w:tcW w:w="3940" w:type="dxa"/>
            <w:vAlign w:val="bottom"/>
          </w:tcPr>
          <w:p>
            <w:pPr>
              <w:jc w:val="center"/>
              <w:ind w:right="392"/>
              <w:spacing w:after="0" w:line="184" w:lineRule="exact"/>
              <w:rPr>
                <w:sz w:val="20"/>
                <w:szCs w:val="20"/>
                <w:color w:val="auto"/>
              </w:rPr>
            </w:pPr>
            <w:r>
              <w:rPr>
                <w:rFonts w:ascii="Times New Roman" w:cs="Times New Roman" w:eastAsia="Times New Roman" w:hAnsi="Times New Roman"/>
                <w:sz w:val="18"/>
                <w:szCs w:val="18"/>
                <w:color w:val="auto"/>
                <w:w w:val="97"/>
              </w:rPr>
              <w:t>(State or Other Jurisdiction of</w:t>
            </w:r>
          </w:p>
        </w:tc>
        <w:tc>
          <w:tcPr>
            <w:tcW w:w="4520" w:type="dxa"/>
            <w:vAlign w:val="bottom"/>
          </w:tcPr>
          <w:p>
            <w:pPr>
              <w:jc w:val="center"/>
              <w:ind w:left="2192"/>
              <w:spacing w:after="0" w:line="184" w:lineRule="exact"/>
              <w:rPr>
                <w:sz w:val="20"/>
                <w:szCs w:val="20"/>
                <w:color w:val="auto"/>
              </w:rPr>
            </w:pPr>
            <w:r>
              <w:rPr>
                <w:rFonts w:ascii="Times New Roman" w:cs="Times New Roman" w:eastAsia="Times New Roman" w:hAnsi="Times New Roman"/>
                <w:sz w:val="18"/>
                <w:szCs w:val="18"/>
                <w:color w:val="auto"/>
                <w:w w:val="97"/>
              </w:rPr>
              <w:t>(I.R.S. Employer</w:t>
            </w:r>
          </w:p>
        </w:tc>
      </w:tr>
      <w:tr>
        <w:trPr>
          <w:trHeight w:val="222"/>
        </w:trPr>
        <w:tc>
          <w:tcPr>
            <w:tcW w:w="394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4520" w:type="dxa"/>
            <w:vAlign w:val="bottom"/>
          </w:tcPr>
          <w:p>
            <w:pPr>
              <w:jc w:val="center"/>
              <w:ind w:left="219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226"/>
        </w:trPr>
        <w:tc>
          <w:tcPr>
            <w:tcW w:w="3940" w:type="dxa"/>
            <w:vAlign w:val="bottom"/>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7"/>
              </w:rPr>
              <w:t>5956 Sherry Lane, Suite 700, Dallas, TX 75225</w:t>
            </w:r>
          </w:p>
        </w:tc>
        <w:tc>
          <w:tcPr>
            <w:tcW w:w="452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(972) 349-3200</w:t>
            </w:r>
          </w:p>
        </w:tc>
      </w:tr>
      <w:tr>
        <w:trPr>
          <w:trHeight w:val="222"/>
        </w:trPr>
        <w:tc>
          <w:tcPr>
            <w:tcW w:w="394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4520" w:type="dxa"/>
            <w:vAlign w:val="bottom"/>
          </w:tcPr>
          <w:p>
            <w:pPr>
              <w:jc w:val="center"/>
              <w:ind w:left="2192"/>
              <w:spacing w:after="0"/>
              <w:rPr>
                <w:sz w:val="20"/>
                <w:szCs w:val="20"/>
                <w:color w:val="auto"/>
              </w:rPr>
            </w:pPr>
            <w:r>
              <w:rPr>
                <w:rFonts w:ascii="Times New Roman" w:cs="Times New Roman" w:eastAsia="Times New Roman" w:hAnsi="Times New Roman"/>
                <w:sz w:val="18"/>
                <w:szCs w:val="18"/>
                <w:color w:val="auto"/>
                <w:w w:val="97"/>
              </w:rPr>
              <w:t>(Registrant's telephone number)</w:t>
            </w:r>
          </w:p>
        </w:tc>
      </w:tr>
      <w:tr>
        <w:trPr>
          <w:trHeight w:val="230"/>
        </w:trPr>
        <w:tc>
          <w:tcPr>
            <w:tcW w:w="3940" w:type="dxa"/>
            <w:vAlign w:val="bottom"/>
          </w:tcPr>
          <w:p>
            <w:pPr>
              <w:spacing w:after="0"/>
              <w:rPr>
                <w:sz w:val="20"/>
                <w:szCs w:val="20"/>
                <w:color w:val="auto"/>
              </w:rPr>
            </w:pPr>
          </w:p>
        </w:tc>
        <w:tc>
          <w:tcPr>
            <w:tcW w:w="45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None</w:t>
            </w:r>
          </w:p>
        </w:tc>
      </w:tr>
    </w:tbl>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9" w:lineRule="exact"/>
        <w:rPr>
          <w:sz w:val="24"/>
          <w:szCs w:val="24"/>
          <w:color w:val="auto"/>
        </w:rPr>
      </w:pPr>
    </w:p>
    <w:p>
      <w:pPr>
        <w:ind w:right="280" w:firstLine="632"/>
        <w:spacing w:after="0" w:line="26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4"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5"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8"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8"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4"/>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33"/>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Common Stock, $0.001 Par Value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CMCT</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r>
      <w:tr>
        <w:trPr>
          <w:trHeight w:val="263"/>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Common Stock, $0.001 Par Value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CMCT</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Tel Aviv Stock Exchange</w:t>
            </w:r>
          </w:p>
        </w:tc>
      </w:tr>
    </w:tbl>
    <w:p>
      <w:pPr>
        <w:spacing w:after="0" w:line="242" w:lineRule="exact"/>
        <w:rPr>
          <w:sz w:val="24"/>
          <w:szCs w:val="24"/>
          <w:color w:val="auto"/>
        </w:rPr>
      </w:pPr>
    </w:p>
    <w:p>
      <w:pPr>
        <w:ind w:right="120" w:firstLine="632"/>
        <w:spacing w:after="0" w:line="26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8" w:lineRule="exact"/>
        <w:rPr>
          <w:sz w:val="24"/>
          <w:szCs w:val="24"/>
          <w:color w:val="auto"/>
        </w:rPr>
      </w:pPr>
    </w:p>
    <w:p>
      <w:pPr>
        <w:ind w:left="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20" w:firstLine="632"/>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1182370</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217170</wp:posOffset>
            </wp:positionV>
            <wp:extent cx="6985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5635" cy="8255"/>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150495</wp:posOffset>
            </wp:positionV>
            <wp:extent cx="698563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5635" cy="165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8, 2025, Creative Media &amp; Community Trust Corporation (the “Company”) and Kaiser Foundation Health Plan, Inc., the Company’s largest tenant at 1 Kaiser Plaza in Oakland, California, executed a lease extension amendment, effective December 30, 2024, to extend 236,692 rentable square feet of office space through December 31, 2027 (the “Extension”). The Extension includes all of the tenant’s existing square footage. Prior to the Extension, 152,996 square feet was scheduled to expire in February 2025 and 83,696 square feet was scheduled to expire in February 2027.</w:t>
      </w:r>
    </w:p>
    <w:p>
      <w:pPr>
        <w:spacing w:after="0" w:line="13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After giving effect to the Extension, contractual base rent for the combined 236,692 square foot Kaiser Foundation Health Plan, Inc. lease totals $11.6 million, $12.0 million and $9.3 million for 2025, 2026 and 2027, respectively, inclusive of three months of rent abatement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541020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303" w:right="419" w:bottom="1440" w:gutter="0" w:footer="0" w:header="0"/>
        </w:sectPr>
      </w:pPr>
    </w:p>
    <w:bookmarkStart w:id="2" w:name="page3"/>
    <w:bookmarkEnd w:id="2"/>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37" w:lineRule="exact"/>
        <w:rPr>
          <w:sz w:val="20"/>
          <w:szCs w:val="20"/>
          <w:color w:val="auto"/>
        </w:rPr>
      </w:pPr>
    </w:p>
    <w:p>
      <w:pPr>
        <w:ind w:firstLine="632"/>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CREATIVE MEDIA &amp; COMMUNITY TRUST CORPORATION</w:t>
      </w:r>
    </w:p>
    <w:p>
      <w:pPr>
        <w:sectPr>
          <w:pgSz w:w="11900" w:h="16838" w:orient="portrait"/>
          <w:cols w:equalWidth="0" w:num="1">
            <w:col w:w="10700"/>
          </w:cols>
          <w:pgMar w:left="320" w:top="1290" w:right="879" w:bottom="1440" w:gutter="0" w:footer="0" w:header="0"/>
        </w:sectPr>
      </w:pP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Dated: January 15, 2025</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1" w:lineRule="exact"/>
        <w:rPr>
          <w:sz w:val="20"/>
          <w:szCs w:val="20"/>
          <w:color w:val="auto"/>
        </w:rPr>
      </w:pPr>
    </w:p>
    <w:p>
      <w:pPr>
        <w:sectPr>
          <w:pgSz w:w="11900" w:h="16838" w:orient="portrait"/>
          <w:cols w:equalWidth="0" w:num="2">
            <w:col w:w="4180" w:space="720"/>
            <w:col w:w="5800"/>
          </w:cols>
          <w:pgMar w:left="320" w:top="1290" w:right="879" w:bottom="1440" w:gutter="0" w:footer="0" w:header="0"/>
          <w:type w:val="continuous"/>
        </w:sectPr>
      </w:pPr>
    </w:p>
    <w:p>
      <w:pPr>
        <w:ind w:left="5960"/>
        <w:spacing w:after="0" w:line="183" w:lineRule="auto"/>
        <w:rPr>
          <w:sz w:val="20"/>
          <w:szCs w:val="20"/>
          <w:color w:val="auto"/>
        </w:rPr>
      </w:pPr>
      <w:r>
        <w:rPr>
          <w:rFonts w:ascii="Times New Roman" w:cs="Times New Roman" w:eastAsia="Times New Roman" w:hAnsi="Times New Roman"/>
          <w:sz w:val="12"/>
          <w:szCs w:val="12"/>
          <w:u w:val="single" w:color="auto"/>
          <w:color w:val="auto"/>
        </w:rPr>
        <w:t>/s/ Barry N. Berlin</w:t>
      </w:r>
    </w:p>
    <w:p>
      <w:pPr>
        <w:ind w:left="5960"/>
        <w:spacing w:after="0"/>
        <w:rPr>
          <w:sz w:val="20"/>
          <w:szCs w:val="20"/>
          <w:color w:val="auto"/>
        </w:rPr>
      </w:pPr>
      <w:r>
        <w:rPr>
          <w:rFonts w:ascii="Times New Roman" w:cs="Times New Roman" w:eastAsia="Times New Roman" w:hAnsi="Times New Roman"/>
          <w:sz w:val="18"/>
          <w:szCs w:val="18"/>
          <w:color w:val="auto"/>
        </w:rPr>
        <w:t>Barry N. Berlin</w:t>
      </w:r>
    </w:p>
    <w:p>
      <w:pPr>
        <w:spacing w:after="0" w:line="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i w:val="1"/>
          <w:iCs w:val="1"/>
          <w:color w:val="auto"/>
        </w:rPr>
        <w:t>Chief Financial Officer</w:t>
      </w:r>
    </w:p>
    <w:sectPr>
      <w:pgSz w:w="11900" w:h="16838" w:orient="portrait"/>
      <w:cols w:equalWidth="0" w:num="1">
        <w:col w:w="10700"/>
      </w:cols>
      <w:pgMar w:left="320" w:top="1290" w:right="8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2025-01-15T05:18:53Z</dcterms:created>
  <dcterms:modified xsi:type="dcterms:W3CDTF">2025-01-15T05:18:53Z</dcterms:modified>
</cp:coreProperties>
</file>